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A23FD">
      <w:pPr>
        <w:jc w:val="center"/>
        <w:rPr>
          <w:rFonts w:ascii="方正小标宋简体" w:hAnsi="宋体" w:eastAsia="方正小标宋简体" w:cs="宋体"/>
          <w:color w:val="333333"/>
          <w:kern w:val="0"/>
          <w:sz w:val="32"/>
          <w:szCs w:val="24"/>
        </w:rPr>
      </w:pPr>
      <w:r>
        <w:rPr>
          <w:rFonts w:hint="eastAsia" w:ascii="方正小标宋简体" w:hAnsi="宋体" w:eastAsia="方正小标宋简体" w:cs="宋体"/>
          <w:color w:val="333333"/>
          <w:kern w:val="0"/>
          <w:sz w:val="32"/>
          <w:szCs w:val="24"/>
        </w:rPr>
        <w:t>2</w:t>
      </w:r>
      <w:r>
        <w:rPr>
          <w:rFonts w:ascii="方正小标宋简体" w:hAnsi="宋体" w:eastAsia="方正小标宋简体" w:cs="宋体"/>
          <w:color w:val="333333"/>
          <w:kern w:val="0"/>
          <w:sz w:val="32"/>
          <w:szCs w:val="24"/>
        </w:rPr>
        <w:t>02</w:t>
      </w:r>
      <w:r>
        <w:rPr>
          <w:rFonts w:hint="eastAsia" w:ascii="方正小标宋简体" w:hAnsi="宋体" w:eastAsia="方正小标宋简体" w:cs="宋体"/>
          <w:color w:val="333333"/>
          <w:kern w:val="0"/>
          <w:sz w:val="32"/>
          <w:szCs w:val="24"/>
          <w:lang w:val="en-US" w:eastAsia="zh-CN"/>
        </w:rPr>
        <w:t>6</w:t>
      </w:r>
      <w:r>
        <w:rPr>
          <w:rFonts w:hint="eastAsia" w:ascii="方正小标宋简体" w:hAnsi="宋体" w:eastAsia="方正小标宋简体" w:cs="宋体"/>
          <w:color w:val="333333"/>
          <w:kern w:val="0"/>
          <w:sz w:val="32"/>
          <w:szCs w:val="24"/>
        </w:rPr>
        <w:t>年健康科学与工程学院研究生教学质量优秀奖评选细则</w:t>
      </w:r>
    </w:p>
    <w:p w14:paraId="26BA18DB">
      <w:pPr>
        <w:jc w:val="center"/>
        <w:rPr>
          <w:rFonts w:ascii="Times New Roman" w:hAnsi="Times New Roman" w:eastAsia="方正小标宋简体" w:cs="Times New Roman"/>
          <w:color w:val="333333"/>
          <w:kern w:val="0"/>
          <w:sz w:val="24"/>
          <w:szCs w:val="24"/>
        </w:rPr>
      </w:pPr>
    </w:p>
    <w:p w14:paraId="1ADEC0D6">
      <w:pPr>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依据《上海理工大学研究生教学质量优秀奖评选办法》，制定本细则，如下：</w:t>
      </w:r>
    </w:p>
    <w:p w14:paraId="41F32D8C">
      <w:pPr>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健康科学与工程学院研究生教学质量优秀奖评选综合成绩由四部分组成，学生评教成绩占比</w:t>
      </w: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0%、课程建设</w:t>
      </w:r>
      <w:r>
        <w:rPr>
          <w:rFonts w:hint="eastAsia" w:ascii="Times New Roman" w:hAnsi="Times New Roman" w:eastAsia="宋体" w:cs="Times New Roman"/>
          <w:sz w:val="24"/>
          <w:szCs w:val="24"/>
        </w:rPr>
        <w:t>占比</w:t>
      </w: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0%、学院互听分数</w:t>
      </w:r>
      <w:r>
        <w:rPr>
          <w:rFonts w:hint="eastAsia" w:ascii="Times New Roman" w:hAnsi="Times New Roman" w:eastAsia="宋体" w:cs="Times New Roman"/>
          <w:sz w:val="24"/>
          <w:szCs w:val="24"/>
        </w:rPr>
        <w:t>占比</w:t>
      </w:r>
      <w:r>
        <w:rPr>
          <w:rFonts w:ascii="Times New Roman" w:hAnsi="Times New Roman" w:eastAsia="宋体" w:cs="Times New Roman"/>
          <w:sz w:val="24"/>
          <w:szCs w:val="24"/>
        </w:rPr>
        <w:t>10%、研究生课程教学工作量</w:t>
      </w:r>
      <w:r>
        <w:rPr>
          <w:rFonts w:hint="eastAsia" w:ascii="Times New Roman" w:hAnsi="Times New Roman" w:eastAsia="宋体" w:cs="Times New Roman"/>
          <w:sz w:val="24"/>
          <w:szCs w:val="24"/>
        </w:rPr>
        <w:t>占比</w:t>
      </w:r>
      <w:r>
        <w:rPr>
          <w:rFonts w:ascii="Times New Roman" w:hAnsi="Times New Roman" w:eastAsia="宋体" w:cs="Times New Roman"/>
          <w:sz w:val="24"/>
          <w:szCs w:val="24"/>
        </w:rPr>
        <w:t>10%。</w:t>
      </w:r>
    </w:p>
    <w:p w14:paraId="3A177781">
      <w:pPr>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具体计算方法如下：综合成绩=学生评教成绩×</w:t>
      </w: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0%+课程建设×</w:t>
      </w: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0%+学院互听分数×10%+研究生课程教学工作量×10%</w:t>
      </w:r>
    </w:p>
    <w:p w14:paraId="7218BC24">
      <w:pPr>
        <w:spacing w:line="400" w:lineRule="exact"/>
        <w:ind w:left="480"/>
        <w:rPr>
          <w:rFonts w:ascii="Times New Roman" w:hAnsi="Times New Roman" w:eastAsia="宋体" w:cs="Times New Roman"/>
          <w:sz w:val="24"/>
          <w:szCs w:val="24"/>
        </w:rPr>
      </w:pPr>
      <w:r>
        <w:rPr>
          <w:rFonts w:ascii="Times New Roman" w:hAnsi="Times New Roman" w:eastAsia="宋体" w:cs="Times New Roman"/>
          <w:sz w:val="24"/>
          <w:szCs w:val="24"/>
        </w:rPr>
        <w:t>（一）学生评教成绩</w:t>
      </w:r>
    </w:p>
    <w:p w14:paraId="56B59583">
      <w:pPr>
        <w:spacing w:line="400" w:lineRule="exact"/>
        <w:ind w:left="480"/>
        <w:rPr>
          <w:rFonts w:ascii="Times New Roman" w:hAnsi="Times New Roman" w:eastAsia="宋体" w:cs="Times New Roman"/>
          <w:sz w:val="24"/>
          <w:szCs w:val="24"/>
        </w:rPr>
      </w:pPr>
      <w:r>
        <w:rPr>
          <w:rFonts w:hint="eastAsia" w:ascii="Times New Roman" w:hAnsi="Times New Roman" w:eastAsia="宋体" w:cs="Times New Roman"/>
          <w:sz w:val="24"/>
          <w:szCs w:val="24"/>
        </w:rPr>
        <w:t>以研究生系统中参评教师</w:t>
      </w: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学年所授本门课程的平均成绩为准</w:t>
      </w:r>
      <w:r>
        <w:rPr>
          <w:rFonts w:hint="eastAsia" w:ascii="Times New Roman" w:hAnsi="Times New Roman" w:eastAsia="宋体" w:cs="Times New Roman"/>
          <w:sz w:val="24"/>
          <w:szCs w:val="24"/>
        </w:rPr>
        <w:t>；</w:t>
      </w:r>
    </w:p>
    <w:p w14:paraId="2BE739CB">
      <w:pPr>
        <w:spacing w:line="400" w:lineRule="exact"/>
        <w:ind w:left="48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二</w:t>
      </w:r>
      <w:r>
        <w:rPr>
          <w:rFonts w:ascii="Times New Roman" w:hAnsi="Times New Roman" w:eastAsia="宋体" w:cs="Times New Roman"/>
          <w:sz w:val="24"/>
          <w:szCs w:val="24"/>
        </w:rPr>
        <w:t>）课程建设</w:t>
      </w:r>
    </w:p>
    <w:p w14:paraId="2DADDA3C">
      <w:pPr>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取202</w:t>
      </w: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学年立项的校级及以上课程建设、教学改革建设项目作为评选项，满分100分，</w:t>
      </w:r>
      <w:r>
        <w:rPr>
          <w:rFonts w:hint="eastAsia" w:ascii="Times New Roman" w:hAnsi="Times New Roman" w:eastAsia="宋体" w:cs="Times New Roman"/>
          <w:sz w:val="24"/>
          <w:szCs w:val="24"/>
        </w:rPr>
        <w:t>各项</w:t>
      </w:r>
      <w:r>
        <w:rPr>
          <w:rFonts w:ascii="Times New Roman" w:hAnsi="Times New Roman" w:eastAsia="宋体" w:cs="Times New Roman"/>
          <w:sz w:val="24"/>
          <w:szCs w:val="24"/>
        </w:rPr>
        <w:t>具体得分如下</w:t>
      </w:r>
      <w:r>
        <w:rPr>
          <w:rFonts w:hint="eastAsia" w:ascii="Times New Roman" w:hAnsi="Times New Roman" w:eastAsia="宋体" w:cs="Times New Roman"/>
          <w:sz w:val="24"/>
          <w:szCs w:val="24"/>
        </w:rPr>
        <w:t>：</w:t>
      </w:r>
    </w:p>
    <w:tbl>
      <w:tblPr>
        <w:tblStyle w:val="6"/>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3"/>
        <w:gridCol w:w="2376"/>
        <w:gridCol w:w="2443"/>
      </w:tblGrid>
      <w:tr w14:paraId="1EF3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072" w:type="dxa"/>
            <w:gridSpan w:val="3"/>
            <w:tcBorders>
              <w:top w:val="nil"/>
              <w:left w:val="nil"/>
              <w:bottom w:val="single" w:color="auto" w:sz="4" w:space="0"/>
              <w:right w:val="nil"/>
            </w:tcBorders>
            <w:vAlign w:val="center"/>
          </w:tcPr>
          <w:p w14:paraId="39280AC1">
            <w:pPr>
              <w:spacing w:line="400" w:lineRule="exact"/>
              <w:jc w:val="center"/>
              <w:rPr>
                <w:rFonts w:ascii="Times New Roman" w:hAnsi="Times New Roman" w:eastAsia="宋体" w:cs="Times New Roman"/>
                <w:b/>
                <w:sz w:val="24"/>
                <w:szCs w:val="24"/>
              </w:rPr>
            </w:pPr>
            <w:r>
              <w:rPr>
                <w:rFonts w:hint="eastAsia" w:ascii="Times New Roman" w:hAnsi="Times New Roman" w:eastAsia="宋体" w:cs="Times New Roman"/>
                <w:b/>
                <w:sz w:val="24"/>
                <w:szCs w:val="24"/>
              </w:rPr>
              <w:t>表1</w:t>
            </w:r>
            <w:r>
              <w:rPr>
                <w:rFonts w:ascii="Times New Roman" w:hAnsi="Times New Roman" w:eastAsia="宋体" w:cs="Times New Roman"/>
                <w:b/>
                <w:sz w:val="24"/>
                <w:szCs w:val="24"/>
              </w:rPr>
              <w:t xml:space="preserve"> </w:t>
            </w:r>
            <w:r>
              <w:rPr>
                <w:rFonts w:hint="eastAsia" w:ascii="Times New Roman" w:hAnsi="Times New Roman" w:eastAsia="宋体" w:cs="Times New Roman"/>
                <w:b/>
                <w:sz w:val="24"/>
                <w:szCs w:val="24"/>
              </w:rPr>
              <w:t>研究生课程建设项目得分计算指标</w:t>
            </w:r>
            <w:r>
              <w:rPr>
                <w:rStyle w:val="8"/>
                <w:rFonts w:ascii="Times New Roman" w:hAnsi="Times New Roman" w:eastAsia="宋体" w:cs="Times New Roman"/>
                <w:b/>
                <w:sz w:val="24"/>
                <w:szCs w:val="24"/>
              </w:rPr>
              <w:footnoteReference w:id="0"/>
            </w:r>
          </w:p>
        </w:tc>
      </w:tr>
      <w:tr w14:paraId="5923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4253" w:type="dxa"/>
            <w:tcBorders>
              <w:top w:val="single" w:color="auto" w:sz="4" w:space="0"/>
            </w:tcBorders>
            <w:vAlign w:val="center"/>
          </w:tcPr>
          <w:p w14:paraId="60C9C9AC">
            <w:pPr>
              <w:spacing w:line="400" w:lineRule="exact"/>
              <w:jc w:val="center"/>
              <w:rPr>
                <w:rFonts w:ascii="Times New Roman" w:hAnsi="Times New Roman" w:eastAsia="宋体" w:cs="Times New Roman"/>
                <w:b/>
                <w:sz w:val="24"/>
                <w:szCs w:val="24"/>
              </w:rPr>
            </w:pPr>
            <w:r>
              <w:rPr>
                <w:rFonts w:ascii="Times New Roman" w:hAnsi="Times New Roman" w:eastAsia="宋体" w:cs="Times New Roman"/>
                <w:b/>
                <w:sz w:val="24"/>
                <w:szCs w:val="24"/>
              </w:rPr>
              <w:t>类型</w:t>
            </w:r>
          </w:p>
        </w:tc>
        <w:tc>
          <w:tcPr>
            <w:tcW w:w="2376" w:type="dxa"/>
            <w:tcBorders>
              <w:top w:val="single" w:color="auto" w:sz="4" w:space="0"/>
            </w:tcBorders>
            <w:vAlign w:val="center"/>
          </w:tcPr>
          <w:p w14:paraId="1945B498">
            <w:pPr>
              <w:spacing w:line="400" w:lineRule="exact"/>
              <w:jc w:val="center"/>
              <w:rPr>
                <w:rFonts w:ascii="Times New Roman" w:hAnsi="Times New Roman" w:eastAsia="宋体" w:cs="Times New Roman"/>
                <w:b/>
                <w:sz w:val="24"/>
                <w:szCs w:val="24"/>
              </w:rPr>
            </w:pPr>
            <w:r>
              <w:rPr>
                <w:rFonts w:ascii="Times New Roman" w:hAnsi="Times New Roman" w:eastAsia="宋体" w:cs="Times New Roman"/>
                <w:b/>
                <w:sz w:val="24"/>
                <w:szCs w:val="24"/>
              </w:rPr>
              <w:t>校级</w:t>
            </w:r>
          </w:p>
        </w:tc>
        <w:tc>
          <w:tcPr>
            <w:tcW w:w="2443" w:type="dxa"/>
            <w:tcBorders>
              <w:top w:val="single" w:color="auto" w:sz="4" w:space="0"/>
            </w:tcBorders>
            <w:vAlign w:val="center"/>
          </w:tcPr>
          <w:p w14:paraId="76ADD5E2">
            <w:pPr>
              <w:spacing w:line="400" w:lineRule="exact"/>
              <w:jc w:val="center"/>
              <w:rPr>
                <w:rFonts w:ascii="Times New Roman" w:hAnsi="Times New Roman" w:eastAsia="宋体" w:cs="Times New Roman"/>
                <w:b/>
                <w:sz w:val="24"/>
                <w:szCs w:val="24"/>
              </w:rPr>
            </w:pPr>
            <w:r>
              <w:rPr>
                <w:rFonts w:ascii="Times New Roman" w:hAnsi="Times New Roman" w:eastAsia="宋体" w:cs="Times New Roman"/>
                <w:b/>
                <w:sz w:val="24"/>
                <w:szCs w:val="24"/>
              </w:rPr>
              <w:t>市级</w:t>
            </w:r>
          </w:p>
        </w:tc>
      </w:tr>
      <w:tr w14:paraId="16A8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vAlign w:val="center"/>
          </w:tcPr>
          <w:p w14:paraId="542AB17D">
            <w:pPr>
              <w:spacing w:line="400" w:lineRule="exact"/>
              <w:jc w:val="center"/>
              <w:rPr>
                <w:rFonts w:ascii="Times New Roman" w:hAnsi="Times New Roman" w:eastAsia="宋体" w:cs="Times New Roman"/>
                <w:sz w:val="24"/>
                <w:szCs w:val="24"/>
              </w:rPr>
            </w:pPr>
            <w:r>
              <w:rPr>
                <w:rFonts w:hint="eastAsia" w:ascii="宋体" w:hAnsi="宋体" w:eastAsia="宋体" w:cs="宋体"/>
                <w:color w:val="000000"/>
                <w:kern w:val="0"/>
                <w:sz w:val="24"/>
                <w:szCs w:val="24"/>
              </w:rPr>
              <w:t>研究生教学成果奖培育项目</w:t>
            </w:r>
          </w:p>
        </w:tc>
        <w:tc>
          <w:tcPr>
            <w:tcW w:w="2376" w:type="dxa"/>
            <w:vAlign w:val="center"/>
          </w:tcPr>
          <w:p w14:paraId="6512DF41">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2443" w:type="dxa"/>
            <w:vAlign w:val="center"/>
          </w:tcPr>
          <w:p w14:paraId="1BE86D68">
            <w:pPr>
              <w:spacing w:line="400" w:lineRule="exact"/>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val="en-US" w:eastAsia="zh-CN"/>
              </w:rPr>
              <w:t>-</w:t>
            </w:r>
          </w:p>
        </w:tc>
      </w:tr>
      <w:tr w14:paraId="18DF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vAlign w:val="center"/>
          </w:tcPr>
          <w:p w14:paraId="464840DB">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“AI+”研究生课程建设项目</w:t>
            </w:r>
          </w:p>
        </w:tc>
        <w:tc>
          <w:tcPr>
            <w:tcW w:w="2376" w:type="dxa"/>
            <w:vAlign w:val="center"/>
          </w:tcPr>
          <w:p w14:paraId="6BD4EDF9">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2443" w:type="dxa"/>
            <w:vAlign w:val="center"/>
          </w:tcPr>
          <w:p w14:paraId="77614A86">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30</w:t>
            </w:r>
          </w:p>
        </w:tc>
      </w:tr>
      <w:tr w14:paraId="285E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vAlign w:val="center"/>
          </w:tcPr>
          <w:p w14:paraId="2332C54D">
            <w:pPr>
              <w:spacing w:line="400" w:lineRule="exact"/>
              <w:jc w:val="center"/>
              <w:rPr>
                <w:rFonts w:ascii="Times New Roman" w:hAnsi="Times New Roman" w:eastAsia="宋体" w:cs="Times New Roman"/>
                <w:sz w:val="24"/>
                <w:szCs w:val="24"/>
              </w:rPr>
            </w:pPr>
            <w:r>
              <w:rPr>
                <w:rFonts w:hint="eastAsia" w:ascii="宋体" w:hAnsi="宋体" w:eastAsia="宋体" w:cs="宋体"/>
                <w:color w:val="000000"/>
                <w:kern w:val="0"/>
                <w:sz w:val="24"/>
                <w:szCs w:val="24"/>
              </w:rPr>
              <w:t>本研一体化课程建设项目</w:t>
            </w:r>
          </w:p>
        </w:tc>
        <w:tc>
          <w:tcPr>
            <w:tcW w:w="2376" w:type="dxa"/>
            <w:vAlign w:val="center"/>
          </w:tcPr>
          <w:p w14:paraId="2B1E2487">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2443" w:type="dxa"/>
            <w:vAlign w:val="center"/>
          </w:tcPr>
          <w:p w14:paraId="694940FD">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30</w:t>
            </w:r>
          </w:p>
        </w:tc>
      </w:tr>
      <w:tr w14:paraId="6CB3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vAlign w:val="center"/>
          </w:tcPr>
          <w:p w14:paraId="57D5CCE7">
            <w:pPr>
              <w:spacing w:line="400" w:lineRule="exact"/>
              <w:jc w:val="center"/>
              <w:rPr>
                <w:rFonts w:ascii="Times New Roman" w:hAnsi="Times New Roman" w:eastAsia="宋体" w:cs="Times New Roman"/>
                <w:sz w:val="24"/>
                <w:szCs w:val="24"/>
              </w:rPr>
            </w:pPr>
            <w:r>
              <w:rPr>
                <w:rFonts w:hint="eastAsia" w:ascii="宋体" w:hAnsi="宋体" w:eastAsia="宋体" w:cs="宋体"/>
                <w:color w:val="000000"/>
                <w:kern w:val="0"/>
                <w:sz w:val="24"/>
                <w:szCs w:val="24"/>
              </w:rPr>
              <w:t>研究生课程思政建设项目</w:t>
            </w:r>
          </w:p>
        </w:tc>
        <w:tc>
          <w:tcPr>
            <w:tcW w:w="2376" w:type="dxa"/>
            <w:vAlign w:val="center"/>
          </w:tcPr>
          <w:p w14:paraId="7A9A7D1D">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6</w:t>
            </w:r>
          </w:p>
        </w:tc>
        <w:tc>
          <w:tcPr>
            <w:tcW w:w="2443" w:type="dxa"/>
            <w:vAlign w:val="center"/>
          </w:tcPr>
          <w:p w14:paraId="69FAFFF9">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30</w:t>
            </w:r>
          </w:p>
        </w:tc>
      </w:tr>
      <w:tr w14:paraId="720F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vAlign w:val="center"/>
          </w:tcPr>
          <w:p w14:paraId="3BD4BADC">
            <w:pPr>
              <w:spacing w:line="400" w:lineRule="exact"/>
              <w:jc w:val="center"/>
              <w:rPr>
                <w:rFonts w:ascii="Times New Roman" w:hAnsi="Times New Roman" w:eastAsia="宋体" w:cs="Times New Roman"/>
                <w:sz w:val="24"/>
                <w:szCs w:val="24"/>
              </w:rPr>
            </w:pPr>
            <w:r>
              <w:rPr>
                <w:rFonts w:hint="eastAsia" w:ascii="宋体" w:hAnsi="宋体" w:eastAsia="宋体" w:cs="宋体"/>
                <w:color w:val="000000"/>
                <w:kern w:val="0"/>
                <w:sz w:val="24"/>
                <w:szCs w:val="24"/>
              </w:rPr>
              <w:t>研究生教材建设项目</w:t>
            </w:r>
          </w:p>
        </w:tc>
        <w:tc>
          <w:tcPr>
            <w:tcW w:w="2376" w:type="dxa"/>
            <w:vAlign w:val="center"/>
          </w:tcPr>
          <w:p w14:paraId="5CB719A0">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8</w:t>
            </w:r>
          </w:p>
        </w:tc>
        <w:tc>
          <w:tcPr>
            <w:tcW w:w="2443" w:type="dxa"/>
            <w:vAlign w:val="center"/>
          </w:tcPr>
          <w:p w14:paraId="182C8E92">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50</w:t>
            </w:r>
          </w:p>
        </w:tc>
      </w:tr>
      <w:tr w14:paraId="456E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shd w:val="clear" w:color="auto" w:fill="auto"/>
            <w:vAlign w:val="center"/>
          </w:tcPr>
          <w:p w14:paraId="7FE4EAC8">
            <w:pPr>
              <w:spacing w:line="400" w:lineRule="exact"/>
              <w:jc w:val="center"/>
              <w:rPr>
                <w:rFonts w:hint="eastAsia"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研究生教学成果奖</w:t>
            </w:r>
          </w:p>
        </w:tc>
        <w:tc>
          <w:tcPr>
            <w:tcW w:w="2376" w:type="dxa"/>
            <w:shd w:val="clear" w:color="auto" w:fill="auto"/>
            <w:vAlign w:val="center"/>
          </w:tcPr>
          <w:p w14:paraId="63149335">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特等20</w:t>
            </w:r>
          </w:p>
          <w:p w14:paraId="21259B32">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一等12</w:t>
            </w:r>
          </w:p>
          <w:p w14:paraId="5519297F">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二等8</w:t>
            </w:r>
          </w:p>
        </w:tc>
        <w:tc>
          <w:tcPr>
            <w:tcW w:w="2443" w:type="dxa"/>
            <w:shd w:val="clear" w:color="auto" w:fill="auto"/>
            <w:vAlign w:val="center"/>
          </w:tcPr>
          <w:p w14:paraId="0B04CAAC">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特等100</w:t>
            </w:r>
          </w:p>
          <w:p w14:paraId="2451C02C">
            <w:pPr>
              <w:spacing w:line="40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一等50</w:t>
            </w:r>
          </w:p>
          <w:p w14:paraId="3AFA68AE">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二等30</w:t>
            </w:r>
          </w:p>
        </w:tc>
      </w:tr>
      <w:tr w14:paraId="4D0D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shd w:val="clear" w:color="auto" w:fill="auto"/>
            <w:vAlign w:val="center"/>
          </w:tcPr>
          <w:p w14:paraId="3C77268F">
            <w:pPr>
              <w:spacing w:line="40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校企前沿课程</w:t>
            </w:r>
          </w:p>
        </w:tc>
        <w:tc>
          <w:tcPr>
            <w:tcW w:w="2376" w:type="dxa"/>
            <w:shd w:val="clear" w:color="auto" w:fill="auto"/>
            <w:vAlign w:val="center"/>
          </w:tcPr>
          <w:p w14:paraId="0FB3498E">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6</w:t>
            </w:r>
          </w:p>
        </w:tc>
        <w:tc>
          <w:tcPr>
            <w:tcW w:w="2443" w:type="dxa"/>
            <w:shd w:val="clear" w:color="auto" w:fill="auto"/>
            <w:vAlign w:val="center"/>
          </w:tcPr>
          <w:p w14:paraId="0C424CA8">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30</w:t>
            </w:r>
          </w:p>
        </w:tc>
      </w:tr>
      <w:tr w14:paraId="1186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shd w:val="clear" w:color="auto" w:fill="auto"/>
            <w:vAlign w:val="center"/>
          </w:tcPr>
          <w:p w14:paraId="1EECAD54">
            <w:pPr>
              <w:spacing w:line="40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研究生优秀案例库</w:t>
            </w:r>
          </w:p>
        </w:tc>
        <w:tc>
          <w:tcPr>
            <w:tcW w:w="2376" w:type="dxa"/>
            <w:shd w:val="clear" w:color="auto" w:fill="auto"/>
            <w:vAlign w:val="center"/>
          </w:tcPr>
          <w:p w14:paraId="4AA1BCD0">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6</w:t>
            </w:r>
          </w:p>
        </w:tc>
        <w:tc>
          <w:tcPr>
            <w:tcW w:w="2443" w:type="dxa"/>
            <w:shd w:val="clear" w:color="auto" w:fill="auto"/>
            <w:vAlign w:val="center"/>
          </w:tcPr>
          <w:p w14:paraId="2A7ACF3E">
            <w:pPr>
              <w:spacing w:line="400" w:lineRule="exact"/>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30</w:t>
            </w:r>
          </w:p>
        </w:tc>
      </w:tr>
      <w:tr w14:paraId="4AF9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3" w:type="dxa"/>
            <w:shd w:val="clear" w:color="auto" w:fill="auto"/>
            <w:vAlign w:val="center"/>
          </w:tcPr>
          <w:p w14:paraId="2D427080">
            <w:pPr>
              <w:spacing w:line="40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微专业项目</w:t>
            </w:r>
          </w:p>
        </w:tc>
        <w:tc>
          <w:tcPr>
            <w:tcW w:w="2376" w:type="dxa"/>
            <w:shd w:val="clear" w:color="auto" w:fill="auto"/>
            <w:vAlign w:val="center"/>
          </w:tcPr>
          <w:p w14:paraId="42FBB5BE">
            <w:pPr>
              <w:spacing w:line="400" w:lineRule="exact"/>
              <w:jc w:val="center"/>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szCs w:val="24"/>
                <w:lang w:val="en-US" w:eastAsia="zh-CN"/>
              </w:rPr>
              <w:t>20</w:t>
            </w:r>
          </w:p>
        </w:tc>
        <w:tc>
          <w:tcPr>
            <w:tcW w:w="2443" w:type="dxa"/>
            <w:shd w:val="clear" w:color="auto" w:fill="auto"/>
            <w:vAlign w:val="center"/>
          </w:tcPr>
          <w:p w14:paraId="40149C87">
            <w:pPr>
              <w:spacing w:line="400" w:lineRule="exact"/>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szCs w:val="24"/>
                <w:lang w:val="en-US" w:eastAsia="zh-CN"/>
              </w:rPr>
              <w:t>-</w:t>
            </w:r>
          </w:p>
        </w:tc>
      </w:tr>
    </w:tbl>
    <w:p w14:paraId="346F93DC">
      <w:pPr>
        <w:spacing w:line="400" w:lineRule="exact"/>
        <w:ind w:left="48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除微专业项目外</w:t>
      </w:r>
      <w:r>
        <w:rPr>
          <w:rFonts w:ascii="Times New Roman" w:hAnsi="Times New Roman" w:eastAsia="宋体" w:cs="Times New Roman"/>
          <w:sz w:val="24"/>
          <w:szCs w:val="24"/>
        </w:rPr>
        <w:t>校级项目取排序第一名，市级项目取排序前二名</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微专业项目由项目负责人分配分数。</w:t>
      </w:r>
      <w:bookmarkStart w:id="0" w:name="_GoBack"/>
      <w:bookmarkEnd w:id="0"/>
    </w:p>
    <w:p w14:paraId="04E9B7AE">
      <w:pPr>
        <w:spacing w:line="400" w:lineRule="exact"/>
        <w:ind w:left="48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三</w:t>
      </w:r>
      <w:r>
        <w:rPr>
          <w:rFonts w:ascii="Times New Roman" w:hAnsi="Times New Roman" w:eastAsia="宋体" w:cs="Times New Roman"/>
          <w:sz w:val="24"/>
          <w:szCs w:val="24"/>
        </w:rPr>
        <w:t>）学院互听分数</w:t>
      </w:r>
    </w:p>
    <w:p w14:paraId="169B42EF">
      <w:pPr>
        <w:spacing w:line="400" w:lineRule="exact"/>
        <w:ind w:left="480"/>
        <w:rPr>
          <w:rFonts w:ascii="Times New Roman" w:hAnsi="Times New Roman" w:eastAsia="宋体" w:cs="Times New Roman"/>
          <w:sz w:val="24"/>
          <w:szCs w:val="24"/>
        </w:rPr>
      </w:pPr>
      <w:r>
        <w:rPr>
          <w:rFonts w:hint="eastAsia" w:ascii="Times New Roman" w:hAnsi="Times New Roman" w:eastAsia="宋体" w:cs="Times New Roman"/>
          <w:sz w:val="24"/>
          <w:szCs w:val="24"/>
        </w:rPr>
        <w:t>以学校研究生院提供的信息为准（需向教务办公室获取）。</w:t>
      </w:r>
    </w:p>
    <w:p w14:paraId="08FB5D53">
      <w:pPr>
        <w:spacing w:line="400" w:lineRule="exact"/>
        <w:ind w:left="480"/>
        <w:rPr>
          <w:rFonts w:ascii="Times New Roman" w:hAnsi="Times New Roman" w:eastAsia="宋体" w:cs="Times New Roman"/>
          <w:sz w:val="24"/>
          <w:szCs w:val="24"/>
        </w:rPr>
      </w:pPr>
      <w:r>
        <w:rPr>
          <w:rFonts w:ascii="Times New Roman" w:hAnsi="Times New Roman" w:eastAsia="宋体" w:cs="Times New Roman"/>
          <w:sz w:val="24"/>
          <w:szCs w:val="24"/>
        </w:rPr>
        <w:t>（四）研究生课程教学工作量</w:t>
      </w:r>
    </w:p>
    <w:p w14:paraId="5CEA38EF">
      <w:pPr>
        <w:spacing w:line="640" w:lineRule="exact"/>
        <w:ind w:left="482"/>
        <w:jc w:val="center"/>
        <w:rPr>
          <w:rFonts w:ascii="Times New Roman" w:hAnsi="Times New Roman" w:eastAsia="仿宋_GB2312" w:cs="Times New Roman"/>
          <w:sz w:val="30"/>
          <w:szCs w:val="30"/>
        </w:rPr>
      </w:pPr>
      <w:r>
        <w:rPr>
          <w:rFonts w:ascii="Times New Roman" w:hAnsi="Times New Roman" w:eastAsia="仿宋_GB2312" w:cs="Times New Roman"/>
          <w:position w:val="-16"/>
          <w:sz w:val="30"/>
          <w:szCs w:val="30"/>
        </w:rPr>
        <w:object>
          <v:shape id="_x0000_i1025" o:spt="75" type="#_x0000_t75" style="height:31.8pt;width:181.8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p>
    <w:p w14:paraId="1BD3A0D0">
      <w:pPr>
        <w:spacing w:line="640" w:lineRule="exact"/>
        <w:ind w:firstLine="560" w:firstLineChars="200"/>
        <w:rPr>
          <w:rFonts w:ascii="Times New Roman" w:hAnsi="Times New Roman" w:eastAsia="宋体" w:cs="Times New Roman"/>
          <w:sz w:val="24"/>
          <w:szCs w:val="24"/>
        </w:rPr>
      </w:pPr>
      <w:r>
        <w:rPr>
          <w:rFonts w:ascii="Times New Roman" w:hAnsi="Times New Roman" w:eastAsia="宋体" w:cs="Times New Roman"/>
          <w:position w:val="-10"/>
          <w:sz w:val="28"/>
          <w:szCs w:val="24"/>
        </w:rPr>
        <w:object>
          <v:shape id="_x0000_i1026" o:spt="75" type="#_x0000_t75" style="height:18pt;width:13.2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rFonts w:ascii="Times New Roman" w:hAnsi="Times New Roman" w:eastAsia="宋体" w:cs="Times New Roman"/>
          <w:sz w:val="24"/>
          <w:szCs w:val="24"/>
        </w:rPr>
        <w:t>研究生课程教学工作量，</w:t>
      </w:r>
      <w:r>
        <w:rPr>
          <w:rFonts w:ascii="Times New Roman" w:hAnsi="Times New Roman" w:eastAsia="宋体" w:cs="Times New Roman"/>
          <w:position w:val="-16"/>
          <w:sz w:val="24"/>
          <w:szCs w:val="24"/>
        </w:rPr>
        <w:object>
          <v:shape id="_x0000_i1027" o:spt="75" type="#_x0000_t75" style="height:21pt;width:16.8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rFonts w:ascii="Times New Roman" w:hAnsi="Times New Roman" w:eastAsia="宋体" w:cs="Times New Roman"/>
          <w:sz w:val="24"/>
          <w:szCs w:val="24"/>
        </w:rPr>
        <w:t>所授学时数，</w:t>
      </w:r>
      <w:r>
        <w:rPr>
          <w:rFonts w:ascii="Times New Roman" w:hAnsi="Times New Roman" w:eastAsia="宋体" w:cs="Times New Roman"/>
          <w:position w:val="-16"/>
          <w:sz w:val="24"/>
          <w:szCs w:val="24"/>
        </w:rPr>
        <w:object>
          <v:shape id="_x0000_i1028" o:spt="75" type="#_x0000_t75" style="height:21pt;width:18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rFonts w:ascii="Times New Roman" w:hAnsi="Times New Roman" w:eastAsia="宋体" w:cs="Times New Roman"/>
          <w:sz w:val="24"/>
          <w:szCs w:val="24"/>
        </w:rPr>
        <w:t>学生选课人数，硕士生、博士生混合班，博士生数按1.2倍折合硕士生数。</w:t>
      </w:r>
    </w:p>
    <w:sectPr>
      <w:pgSz w:w="11906" w:h="16838"/>
      <w:pgMar w:top="1247" w:right="1701" w:bottom="124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2EFB21F">
      <w:pPr>
        <w:pStyle w:val="4"/>
        <w:jc w:val="both"/>
      </w:pPr>
      <w:r>
        <w:rPr>
          <w:rStyle w:val="8"/>
        </w:rPr>
        <w:footnoteRef/>
      </w:r>
      <w:r>
        <w:t xml:space="preserve"> </w:t>
      </w:r>
      <w:r>
        <w:rPr>
          <w:rFonts w:hint="eastAsia"/>
        </w:rPr>
        <w:t>研究生课程建设项目的得分计算，以《健康科学与工程学院绩效工资二级分配办法》（上理工健康〔</w:t>
      </w:r>
      <w:r>
        <w:t>2023〕18号</w:t>
      </w:r>
      <w:r>
        <w:rPr>
          <w:rFonts w:hint="eastAsia"/>
        </w:rPr>
        <w:t>）中“表</w:t>
      </w:r>
      <w:r>
        <w:t>5”所列指标为参考基础，并结合本项目实际情况进行修改与完善</w:t>
      </w:r>
      <w:r>
        <w:rPr>
          <w:rFonts w:hint="eastAsi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4EE"/>
    <w:rsid w:val="0000123F"/>
    <w:rsid w:val="000322A5"/>
    <w:rsid w:val="000564EE"/>
    <w:rsid w:val="0007565F"/>
    <w:rsid w:val="000F1456"/>
    <w:rsid w:val="00284EB6"/>
    <w:rsid w:val="00294C35"/>
    <w:rsid w:val="00357257"/>
    <w:rsid w:val="00376B9F"/>
    <w:rsid w:val="004319B7"/>
    <w:rsid w:val="004C1DCB"/>
    <w:rsid w:val="004E3BFB"/>
    <w:rsid w:val="005D3A0D"/>
    <w:rsid w:val="00727203"/>
    <w:rsid w:val="007D08F7"/>
    <w:rsid w:val="008B52A5"/>
    <w:rsid w:val="008D16DB"/>
    <w:rsid w:val="008E535B"/>
    <w:rsid w:val="00920FBA"/>
    <w:rsid w:val="00A70EF9"/>
    <w:rsid w:val="00A863EF"/>
    <w:rsid w:val="00AB264A"/>
    <w:rsid w:val="00AF68AA"/>
    <w:rsid w:val="00B66152"/>
    <w:rsid w:val="00B801AF"/>
    <w:rsid w:val="00B82DAA"/>
    <w:rsid w:val="00BD4E0E"/>
    <w:rsid w:val="00BD76C9"/>
    <w:rsid w:val="00BF1F0F"/>
    <w:rsid w:val="00C96E7C"/>
    <w:rsid w:val="00D0032C"/>
    <w:rsid w:val="00E77368"/>
    <w:rsid w:val="00EE5967"/>
    <w:rsid w:val="00F36995"/>
    <w:rsid w:val="00FA492A"/>
    <w:rsid w:val="2EF20E74"/>
    <w:rsid w:val="2FAA2647"/>
    <w:rsid w:val="33E71287"/>
    <w:rsid w:val="650F6997"/>
    <w:rsid w:val="6792249C"/>
    <w:rsid w:val="740B0B7B"/>
    <w:rsid w:val="77B97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2"/>
    <w:semiHidden/>
    <w:unhideWhenUsed/>
    <w:uiPriority w:val="99"/>
    <w:pPr>
      <w:snapToGrid w:val="0"/>
      <w:jc w:val="left"/>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basedOn w:val="7"/>
    <w:semiHidden/>
    <w:unhideWhenUsed/>
    <w:qFormat/>
    <w:uiPriority w:val="99"/>
    <w:rPr>
      <w:vertAlign w:val="superscript"/>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脚注文本 字符"/>
    <w:basedOn w:val="7"/>
    <w:link w:val="4"/>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D757A-62DA-4327-913B-4BA040C6E7F8}">
  <ds:schemaRefs/>
</ds:datastoreItem>
</file>

<file path=docProps/app.xml><?xml version="1.0" encoding="utf-8"?>
<Properties xmlns="http://schemas.openxmlformats.org/officeDocument/2006/extended-properties" xmlns:vt="http://schemas.openxmlformats.org/officeDocument/2006/docPropsVTypes">
  <Template>Normal</Template>
  <Pages>2</Pages>
  <Words>522</Words>
  <Characters>586</Characters>
  <Lines>4</Lines>
  <Paragraphs>1</Paragraphs>
  <TotalTime>7</TotalTime>
  <ScaleCrop>false</ScaleCrop>
  <LinksUpToDate>false</LinksUpToDate>
  <CharactersWithSpaces>587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2025-09-26T01:56:00Z</dcterms:created>
  <dc:creator>DELL</dc:creator>
  <cp:lastModifiedBy>涂扬霓</cp:lastModifiedBy>
  <dcterms:modified xsi:type="dcterms:W3CDTF">2026-10-27T02:07:23Z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eyJoZGlkIjoiNTc4YjQ2OWVhNjcwMmVhN2ZlMWU2ZjJlMjk0ODJiNjMiLCJ1c2VySWQiOiIxNTY4MjkyMjk4In0=</vt:lpwstr>
  </property>
  <property fmtid="{D5CDD505-2E9C-101B-9397-08002B2CF9AE}" pid="3" name="KSOProductBuildVer">
    <vt:lpwstr>2052-12.1.0.28043</vt:lpwstr>
  </property>
  <property fmtid="{D5CDD505-2E9C-101B-9397-08002B2CF9AE}" pid="4" name="ICV">
    <vt:lpwstr>5D94B9A00078445BBD1BC6FD05036C4C_12</vt:lpwstr>
  </property>
</Properties>
</file>